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BE" w:rsidRPr="002D22BE" w:rsidRDefault="002D22BE" w:rsidP="002D22BE">
      <w:pPr>
        <w:shd w:val="clear" w:color="auto" w:fill="FFFFFF"/>
        <w:spacing w:before="100" w:beforeAutospacing="1" w:after="100" w:afterAutospacing="1" w:line="600" w:lineRule="atLeast"/>
        <w:outlineLvl w:val="0"/>
        <w:rPr>
          <w:rFonts w:ascii="Montserrat" w:eastAsia="Times New Roman" w:hAnsi="Montserrat" w:cs="Times New Roman"/>
          <w:b/>
          <w:bCs/>
          <w:color w:val="000000"/>
          <w:kern w:val="36"/>
          <w:sz w:val="48"/>
          <w:szCs w:val="48"/>
          <w:lang w:eastAsia="ru-RU"/>
        </w:rPr>
      </w:pPr>
      <w:r w:rsidRPr="002D22BE">
        <w:rPr>
          <w:rFonts w:ascii="Montserrat" w:eastAsia="Times New Roman" w:hAnsi="Montserrat" w:cs="Times New Roman"/>
          <w:b/>
          <w:bCs/>
          <w:color w:val="000000"/>
          <w:kern w:val="36"/>
          <w:sz w:val="48"/>
          <w:szCs w:val="48"/>
          <w:lang w:eastAsia="ru-RU"/>
        </w:rPr>
        <w:t>Итоговое сочинение (изложение)</w:t>
      </w:r>
    </w:p>
    <w:p w:rsidR="002D22BE" w:rsidRPr="002D22BE" w:rsidRDefault="002D22BE" w:rsidP="002D22BE">
      <w:pPr>
        <w:shd w:val="clear" w:color="auto" w:fill="FFFFFF"/>
        <w:spacing w:after="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b/>
          <w:bCs/>
          <w:color w:val="000000"/>
          <w:sz w:val="24"/>
          <w:szCs w:val="24"/>
          <w:lang w:eastAsia="ru-RU"/>
        </w:rPr>
        <w:t>Итоговое сочинение (изложение)  в 2024 - 2025 учебном году </w:t>
      </w:r>
      <w:r w:rsidRPr="002D22BE">
        <w:rPr>
          <w:rFonts w:ascii="Montserrat" w:eastAsia="Times New Roman" w:hAnsi="Montserrat" w:cs="Times New Roman"/>
          <w:color w:val="000000"/>
          <w:sz w:val="24"/>
          <w:szCs w:val="24"/>
          <w:lang w:eastAsia="ru-RU"/>
        </w:rPr>
        <w:br/>
      </w:r>
      <w:r w:rsidRPr="002D22BE">
        <w:rPr>
          <w:rFonts w:ascii="Montserrat" w:eastAsia="Times New Roman" w:hAnsi="Montserrat" w:cs="Times New Roman"/>
          <w:b/>
          <w:bCs/>
          <w:color w:val="000000"/>
          <w:sz w:val="24"/>
          <w:szCs w:val="24"/>
          <w:lang w:eastAsia="ru-RU"/>
        </w:rPr>
        <w:t>1. Дата  проведения и продолжительность экзамена: 4 декабря 2024 года.</w:t>
      </w:r>
      <w:r w:rsidRPr="002D22BE">
        <w:rPr>
          <w:rFonts w:ascii="Montserrat" w:eastAsia="Times New Roman" w:hAnsi="Montserrat" w:cs="Times New Roman"/>
          <w:b/>
          <w:bCs/>
          <w:color w:val="000000"/>
          <w:sz w:val="24"/>
          <w:szCs w:val="24"/>
          <w:lang w:eastAsia="ru-RU"/>
        </w:rPr>
        <w:br/>
        <w:t>•    Резервные дни:      5 февраля 2025 года;    09 апреля 2025 года.</w:t>
      </w:r>
      <w:r w:rsidRPr="002D22BE">
        <w:rPr>
          <w:rFonts w:ascii="Montserrat" w:eastAsia="Times New Roman" w:hAnsi="Montserrat" w:cs="Times New Roman"/>
          <w:color w:val="000000"/>
          <w:sz w:val="24"/>
          <w:szCs w:val="24"/>
          <w:lang w:eastAsia="ru-RU"/>
        </w:rPr>
        <w:br/>
      </w:r>
      <w:r w:rsidRPr="002D22BE">
        <w:rPr>
          <w:rFonts w:ascii="Montserrat" w:eastAsia="Times New Roman" w:hAnsi="Montserrat" w:cs="Times New Roman"/>
          <w:b/>
          <w:bCs/>
          <w:color w:val="000000"/>
          <w:sz w:val="24"/>
          <w:szCs w:val="24"/>
          <w:lang w:eastAsia="ru-RU"/>
        </w:rPr>
        <w:t>2. На выполнение работы регламентом экзамена-допуска отводится 3 ч. 55 мин.</w:t>
      </w:r>
      <w:r w:rsidRPr="002D22BE">
        <w:rPr>
          <w:rFonts w:ascii="Montserrat" w:eastAsia="Times New Roman" w:hAnsi="Montserrat" w:cs="Times New Roman"/>
          <w:color w:val="000000"/>
          <w:sz w:val="24"/>
          <w:szCs w:val="24"/>
          <w:lang w:eastAsia="ru-RU"/>
        </w:rPr>
        <w:br/>
        <w:t>   Выпускники текущего года пишут итоговое сочинение (изложение) 4 декабря 2024 года. Для них сочинение (изложение) является обязательным. Регистрация осуществляется в образовательных организациях, где они обучаются. В случае получения «незачета» они имеют право переписать итоговое сочинение 5 февраля 2025 года, 09 апреля 2025 года.</w:t>
      </w:r>
      <w:r w:rsidRPr="002D22BE">
        <w:rPr>
          <w:rFonts w:ascii="Montserrat" w:eastAsia="Times New Roman" w:hAnsi="Montserrat" w:cs="Times New Roman"/>
          <w:color w:val="000000"/>
          <w:sz w:val="24"/>
          <w:szCs w:val="24"/>
          <w:lang w:eastAsia="ru-RU"/>
        </w:rPr>
        <w:br/>
      </w:r>
      <w:r w:rsidRPr="002D22BE">
        <w:rPr>
          <w:rFonts w:ascii="Montserrat" w:eastAsia="Times New Roman" w:hAnsi="Montserrat" w:cs="Times New Roman"/>
          <w:b/>
          <w:bCs/>
          <w:color w:val="000000"/>
          <w:sz w:val="24"/>
          <w:szCs w:val="24"/>
          <w:lang w:eastAsia="ru-RU"/>
        </w:rPr>
        <w:t>ВАЖНО!</w:t>
      </w:r>
      <w:r w:rsidRPr="002D22BE">
        <w:rPr>
          <w:rFonts w:ascii="Montserrat" w:eastAsia="Times New Roman" w:hAnsi="Montserrat" w:cs="Times New Roman"/>
          <w:color w:val="000000"/>
          <w:sz w:val="24"/>
          <w:szCs w:val="24"/>
          <w:lang w:eastAsia="ru-RU"/>
        </w:rPr>
        <w:t> Декабрьское сочинение – обязательный этап, ведь экзамен выступает допуском к основной сессии ГИА. Если не получен «зачет» по сочинению (изложению), школьник не может быть допущен к сдаче остальных предметов. </w:t>
      </w:r>
      <w:r w:rsidRPr="002D22BE">
        <w:rPr>
          <w:rFonts w:ascii="Montserrat" w:eastAsia="Times New Roman" w:hAnsi="Montserrat" w:cs="Times New Roman"/>
          <w:color w:val="000000"/>
          <w:sz w:val="24"/>
          <w:szCs w:val="24"/>
          <w:lang w:eastAsia="ru-RU"/>
        </w:rPr>
        <w:br/>
        <w:t>Выпускникам прошлых лет, планирующим сдавать (пересдавать) ГИА в 2025 году, не нужно писать сочинение, если они получили «зачет» по данному экзамену в год своего выпуска. Если причиной пересдач в 2024 году является именно «незачет» по итоговому сочинению, то необходимо подать заявку на прохождение экзамена, обратившись в региональный центр проведения ГИА или оформив заявление в режиме онлайн.</w:t>
      </w:r>
      <w:r w:rsidRPr="002D22BE">
        <w:rPr>
          <w:rFonts w:ascii="Montserrat" w:eastAsia="Times New Roman" w:hAnsi="Montserrat" w:cs="Times New Roman"/>
          <w:color w:val="000000"/>
          <w:sz w:val="24"/>
          <w:szCs w:val="24"/>
          <w:lang w:eastAsia="ru-RU"/>
        </w:rPr>
        <w:br/>
        <w:t>Выпускники прошлых лет смогут написать сочинение в любой из вышеуказанных дней. Участие в сочинении для данной категории лиц не является обязательным.</w:t>
      </w:r>
      <w:r w:rsidRPr="002D22BE">
        <w:rPr>
          <w:rFonts w:ascii="Montserrat" w:eastAsia="Times New Roman" w:hAnsi="Montserrat" w:cs="Times New Roman"/>
          <w:color w:val="000000"/>
          <w:sz w:val="24"/>
          <w:szCs w:val="24"/>
          <w:lang w:eastAsia="ru-RU"/>
        </w:rPr>
        <w:br/>
      </w:r>
      <w:r w:rsidRPr="002D22BE">
        <w:rPr>
          <w:rFonts w:ascii="Montserrat" w:eastAsia="Times New Roman" w:hAnsi="Montserrat" w:cs="Times New Roman"/>
          <w:b/>
          <w:bCs/>
          <w:color w:val="000000"/>
          <w:sz w:val="24"/>
          <w:szCs w:val="24"/>
          <w:lang w:eastAsia="ru-RU"/>
        </w:rPr>
        <w:t>3. Срок подачи заявления</w:t>
      </w:r>
      <w:r w:rsidRPr="002D22BE">
        <w:rPr>
          <w:rFonts w:ascii="Montserrat" w:eastAsia="Times New Roman" w:hAnsi="Montserrat" w:cs="Times New Roman"/>
          <w:color w:val="000000"/>
          <w:sz w:val="24"/>
          <w:szCs w:val="24"/>
          <w:lang w:eastAsia="ru-RU"/>
        </w:rPr>
        <w:br/>
      </w:r>
      <w:proofErr w:type="spellStart"/>
      <w:r w:rsidRPr="002D22BE">
        <w:rPr>
          <w:rFonts w:ascii="Montserrat" w:eastAsia="Times New Roman" w:hAnsi="Montserrat" w:cs="Times New Roman"/>
          <w:color w:val="000000"/>
          <w:sz w:val="24"/>
          <w:szCs w:val="24"/>
          <w:lang w:eastAsia="ru-RU"/>
        </w:rPr>
        <w:t>Заявления</w:t>
      </w:r>
      <w:proofErr w:type="spellEnd"/>
      <w:r w:rsidRPr="002D22BE">
        <w:rPr>
          <w:rFonts w:ascii="Montserrat" w:eastAsia="Times New Roman" w:hAnsi="Montserrat" w:cs="Times New Roman"/>
          <w:color w:val="000000"/>
          <w:sz w:val="24"/>
          <w:szCs w:val="24"/>
          <w:lang w:eastAsia="ru-RU"/>
        </w:rPr>
        <w:t xml:space="preserve"> подаются не позднее чем за две недели до начала проведения итогового сочинения (изложения).</w:t>
      </w:r>
      <w:r w:rsidRPr="002D22BE">
        <w:rPr>
          <w:rFonts w:ascii="Montserrat" w:eastAsia="Times New Roman" w:hAnsi="Montserrat" w:cs="Times New Roman"/>
          <w:color w:val="000000"/>
          <w:sz w:val="24"/>
          <w:szCs w:val="24"/>
          <w:lang w:eastAsia="ru-RU"/>
        </w:rPr>
        <w:br/>
        <w:t>Дата завершения подачи заявления на участие в итоговом сочинении (изложении) - 21 ноября 2024 года  (основной срок), </w:t>
      </w:r>
      <w:r w:rsidRPr="002D22BE">
        <w:rPr>
          <w:rFonts w:ascii="Montserrat" w:eastAsia="Times New Roman" w:hAnsi="Montserrat" w:cs="Times New Roman"/>
          <w:color w:val="000000"/>
          <w:sz w:val="24"/>
          <w:szCs w:val="24"/>
          <w:lang w:eastAsia="ru-RU"/>
        </w:rPr>
        <w:br/>
        <w:t xml:space="preserve">24 января 2025 года </w:t>
      </w:r>
      <w:proofErr w:type="spellStart"/>
      <w:r w:rsidRPr="002D22BE">
        <w:rPr>
          <w:rFonts w:ascii="Montserrat" w:eastAsia="Times New Roman" w:hAnsi="Montserrat" w:cs="Times New Roman"/>
          <w:color w:val="000000"/>
          <w:sz w:val="24"/>
          <w:szCs w:val="24"/>
          <w:lang w:eastAsia="ru-RU"/>
        </w:rPr>
        <w:t>ит</w:t>
      </w:r>
      <w:proofErr w:type="spellEnd"/>
      <w:r w:rsidRPr="002D22BE">
        <w:rPr>
          <w:rFonts w:ascii="Montserrat" w:eastAsia="Times New Roman" w:hAnsi="Montserrat" w:cs="Times New Roman"/>
          <w:color w:val="000000"/>
          <w:sz w:val="24"/>
          <w:szCs w:val="24"/>
          <w:lang w:eastAsia="ru-RU"/>
        </w:rPr>
        <w:t xml:space="preserve"> 27 марта 2025 года соответственно (</w:t>
      </w:r>
      <w:proofErr w:type="spellStart"/>
      <w:r w:rsidRPr="002D22BE">
        <w:rPr>
          <w:rFonts w:ascii="Montserrat" w:eastAsia="Times New Roman" w:hAnsi="Montserrat" w:cs="Times New Roman"/>
          <w:color w:val="000000"/>
          <w:sz w:val="24"/>
          <w:szCs w:val="24"/>
          <w:lang w:eastAsia="ru-RU"/>
        </w:rPr>
        <w:t>резерный</w:t>
      </w:r>
      <w:proofErr w:type="spellEnd"/>
      <w:r w:rsidRPr="002D22BE">
        <w:rPr>
          <w:rFonts w:ascii="Montserrat" w:eastAsia="Times New Roman" w:hAnsi="Montserrat" w:cs="Times New Roman"/>
          <w:color w:val="000000"/>
          <w:sz w:val="24"/>
          <w:szCs w:val="24"/>
          <w:lang w:eastAsia="ru-RU"/>
        </w:rPr>
        <w:t xml:space="preserve"> срок)</w:t>
      </w:r>
      <w:r w:rsidRPr="002D22BE">
        <w:rPr>
          <w:rFonts w:ascii="Montserrat" w:eastAsia="Times New Roman" w:hAnsi="Montserrat" w:cs="Times New Roman"/>
          <w:color w:val="000000"/>
          <w:sz w:val="24"/>
          <w:szCs w:val="24"/>
          <w:lang w:eastAsia="ru-RU"/>
        </w:rPr>
        <w:br/>
      </w:r>
      <w:r w:rsidRPr="002D22BE">
        <w:rPr>
          <w:rFonts w:ascii="Montserrat" w:eastAsia="Times New Roman" w:hAnsi="Montserrat" w:cs="Times New Roman"/>
          <w:b/>
          <w:bCs/>
          <w:color w:val="000000"/>
          <w:sz w:val="24"/>
          <w:szCs w:val="24"/>
          <w:lang w:eastAsia="ru-RU"/>
        </w:rPr>
        <w:t>4.Места подачи заявления для различных категорий участников итогового сочинения (изложения) </w:t>
      </w:r>
      <w:r w:rsidRPr="002D22BE">
        <w:rPr>
          <w:rFonts w:ascii="Montserrat" w:eastAsia="Times New Roman" w:hAnsi="Montserrat" w:cs="Times New Roman"/>
          <w:color w:val="000000"/>
          <w:sz w:val="24"/>
          <w:szCs w:val="24"/>
          <w:lang w:eastAsia="ru-RU"/>
        </w:rPr>
        <w:br/>
        <w:t>4.1. В общеобразовательные организации, в которых участники проходят обучение (либо зачислены для прохождения ГИА) по форме ИС-ВТГ (приложение 2):</w:t>
      </w:r>
      <w:r w:rsidRPr="002D22BE">
        <w:rPr>
          <w:rFonts w:ascii="Montserrat" w:eastAsia="Times New Roman" w:hAnsi="Montserrat" w:cs="Times New Roman"/>
          <w:color w:val="000000"/>
          <w:sz w:val="24"/>
          <w:szCs w:val="24"/>
          <w:lang w:eastAsia="ru-RU"/>
        </w:rPr>
        <w:br/>
        <w:t>-       выпускники текущего года;</w:t>
      </w:r>
      <w:r w:rsidRPr="002D22BE">
        <w:rPr>
          <w:rFonts w:ascii="Montserrat" w:eastAsia="Times New Roman" w:hAnsi="Montserrat" w:cs="Times New Roman"/>
          <w:color w:val="000000"/>
          <w:sz w:val="24"/>
          <w:szCs w:val="24"/>
          <w:lang w:eastAsia="ru-RU"/>
        </w:rPr>
        <w:br/>
        <w:t>-       экстерны;</w:t>
      </w:r>
      <w:r w:rsidRPr="002D22BE">
        <w:rPr>
          <w:rFonts w:ascii="Montserrat" w:eastAsia="Times New Roman" w:hAnsi="Montserrat" w:cs="Times New Roman"/>
          <w:color w:val="000000"/>
          <w:sz w:val="24"/>
          <w:szCs w:val="24"/>
          <w:lang w:eastAsia="ru-RU"/>
        </w:rPr>
        <w:br/>
        <w:t>-       лица со справкой об обучении.</w:t>
      </w:r>
      <w:r w:rsidRPr="002D22BE">
        <w:rPr>
          <w:rFonts w:ascii="Montserrat" w:eastAsia="Times New Roman" w:hAnsi="Montserrat" w:cs="Times New Roman"/>
          <w:color w:val="000000"/>
          <w:sz w:val="24"/>
          <w:szCs w:val="24"/>
          <w:lang w:eastAsia="ru-RU"/>
        </w:rPr>
        <w:br/>
        <w:t xml:space="preserve">4.2. В профессиональные образовательные организации (колледжи), находящиеся в городе </w:t>
      </w:r>
      <w:proofErr w:type="spellStart"/>
      <w:r w:rsidRPr="002D22BE">
        <w:rPr>
          <w:rFonts w:ascii="Montserrat" w:eastAsia="Times New Roman" w:hAnsi="Montserrat" w:cs="Times New Roman"/>
          <w:color w:val="000000"/>
          <w:sz w:val="24"/>
          <w:szCs w:val="24"/>
          <w:lang w:eastAsia="ru-RU"/>
        </w:rPr>
        <w:t>Малгобек</w:t>
      </w:r>
      <w:proofErr w:type="spellEnd"/>
      <w:r w:rsidRPr="002D22BE">
        <w:rPr>
          <w:rFonts w:ascii="Montserrat" w:eastAsia="Times New Roman" w:hAnsi="Montserrat" w:cs="Times New Roman"/>
          <w:color w:val="000000"/>
          <w:sz w:val="24"/>
          <w:szCs w:val="24"/>
          <w:lang w:eastAsia="ru-RU"/>
        </w:rPr>
        <w:t>, в которых участники проходят обучение, по форме ИС-ВПЛ :</w:t>
      </w:r>
      <w:r w:rsidRPr="002D22BE">
        <w:rPr>
          <w:rFonts w:ascii="Montserrat" w:eastAsia="Times New Roman" w:hAnsi="Montserrat" w:cs="Times New Roman"/>
          <w:color w:val="000000"/>
          <w:sz w:val="24"/>
          <w:szCs w:val="24"/>
          <w:lang w:eastAsia="ru-RU"/>
        </w:rPr>
        <w:br/>
        <w:t>-       обучающиеся колледжей (СПО), завершающие/завершившие освоение образовательных программ среднего общего образования в колледжах </w:t>
      </w:r>
      <w:r w:rsidRPr="002D22BE">
        <w:rPr>
          <w:rFonts w:ascii="Montserrat" w:eastAsia="Times New Roman" w:hAnsi="Montserrat" w:cs="Times New Roman"/>
          <w:color w:val="000000"/>
          <w:sz w:val="24"/>
          <w:szCs w:val="24"/>
          <w:lang w:eastAsia="ru-RU"/>
        </w:rPr>
        <w:br/>
        <w:t>4.3. В муниципальные органы управления образованием по месту пребывания участника по форме ИС-ВПЛ:</w:t>
      </w:r>
      <w:r w:rsidRPr="002D22BE">
        <w:rPr>
          <w:rFonts w:ascii="Montserrat" w:eastAsia="Times New Roman" w:hAnsi="Montserrat" w:cs="Times New Roman"/>
          <w:color w:val="000000"/>
          <w:sz w:val="24"/>
          <w:szCs w:val="24"/>
          <w:lang w:eastAsia="ru-RU"/>
        </w:rPr>
        <w:br/>
        <w:t>-       выпускники прошлых лет, в том числе лица, имеющие среднее общее образование, полученное в иностранных образовательных организациях;</w:t>
      </w:r>
      <w:r w:rsidRPr="002D22BE">
        <w:rPr>
          <w:rFonts w:ascii="Montserrat" w:eastAsia="Times New Roman" w:hAnsi="Montserrat" w:cs="Times New Roman"/>
          <w:color w:val="000000"/>
          <w:sz w:val="24"/>
          <w:szCs w:val="24"/>
          <w:lang w:eastAsia="ru-RU"/>
        </w:rPr>
        <w:br/>
        <w:t>-       обучающиеся, получающие среднее общее образование в иностранной образовательной организации;</w:t>
      </w:r>
      <w:r w:rsidRPr="002D22BE">
        <w:rPr>
          <w:rFonts w:ascii="Montserrat" w:eastAsia="Times New Roman" w:hAnsi="Montserrat" w:cs="Times New Roman"/>
          <w:color w:val="000000"/>
          <w:sz w:val="24"/>
          <w:szCs w:val="24"/>
          <w:lang w:eastAsia="ru-RU"/>
        </w:rPr>
        <w:br/>
        <w:t>-       обучающиеся колледжей (СПО), имеющие аттестат о среднем общем образовании;</w:t>
      </w:r>
      <w:r w:rsidRPr="002D22BE">
        <w:rPr>
          <w:rFonts w:ascii="Montserrat" w:eastAsia="Times New Roman" w:hAnsi="Montserrat" w:cs="Times New Roman"/>
          <w:color w:val="000000"/>
          <w:sz w:val="24"/>
          <w:szCs w:val="24"/>
          <w:lang w:eastAsia="ru-RU"/>
        </w:rPr>
        <w:br/>
        <w:t>4.4. Необходимые документы для подачи заявления</w:t>
      </w:r>
      <w:r w:rsidRPr="002D22BE">
        <w:rPr>
          <w:rFonts w:ascii="Montserrat" w:eastAsia="Times New Roman" w:hAnsi="Montserrat" w:cs="Times New Roman"/>
          <w:color w:val="000000"/>
          <w:sz w:val="24"/>
          <w:szCs w:val="24"/>
          <w:lang w:eastAsia="ru-RU"/>
        </w:rPr>
        <w:br/>
        <w:t>- документ, удостоверяющий личность;</w:t>
      </w:r>
      <w:r w:rsidRPr="002D22BE">
        <w:rPr>
          <w:rFonts w:ascii="Montserrat" w:eastAsia="Times New Roman" w:hAnsi="Montserrat" w:cs="Times New Roman"/>
          <w:color w:val="000000"/>
          <w:sz w:val="24"/>
          <w:szCs w:val="24"/>
          <w:lang w:eastAsia="ru-RU"/>
        </w:rPr>
        <w:br/>
        <w:t>- страховой номер обязательного пенсионного страхования (СНИЛС).</w:t>
      </w:r>
      <w:r w:rsidRPr="002D22BE">
        <w:rPr>
          <w:rFonts w:ascii="Montserrat" w:eastAsia="Times New Roman" w:hAnsi="Montserrat" w:cs="Times New Roman"/>
          <w:color w:val="000000"/>
          <w:sz w:val="24"/>
          <w:szCs w:val="24"/>
          <w:lang w:eastAsia="ru-RU"/>
        </w:rPr>
        <w:br/>
      </w:r>
      <w:r w:rsidRPr="002D22BE">
        <w:rPr>
          <w:rFonts w:ascii="Montserrat" w:eastAsia="Times New Roman" w:hAnsi="Montserrat" w:cs="Times New Roman"/>
          <w:b/>
          <w:bCs/>
          <w:color w:val="000000"/>
          <w:sz w:val="24"/>
          <w:szCs w:val="24"/>
          <w:lang w:eastAsia="ru-RU"/>
        </w:rPr>
        <w:t>5 Дополнительные документы для подачи заявления отдельными категориями участников</w:t>
      </w:r>
      <w:r w:rsidRPr="002D22BE">
        <w:rPr>
          <w:rFonts w:ascii="Montserrat" w:eastAsia="Times New Roman" w:hAnsi="Montserrat" w:cs="Times New Roman"/>
          <w:color w:val="000000"/>
          <w:sz w:val="24"/>
          <w:szCs w:val="24"/>
          <w:lang w:eastAsia="ru-RU"/>
        </w:rPr>
        <w:br/>
        <w:t xml:space="preserve">5.1 Выпускники прошлых лет предоставляют оригинал документа об образовании, подтверждающего получение среднего общего образования (аттестат о среднем общем </w:t>
      </w:r>
      <w:r w:rsidRPr="002D22BE">
        <w:rPr>
          <w:rFonts w:ascii="Montserrat" w:eastAsia="Times New Roman" w:hAnsi="Montserrat" w:cs="Times New Roman"/>
          <w:color w:val="000000"/>
          <w:sz w:val="24"/>
          <w:szCs w:val="24"/>
          <w:lang w:eastAsia="ru-RU"/>
        </w:rPr>
        <w:lastRenderedPageBreak/>
        <w:t>образовании или диплом о среднем профессиональном образовании).</w:t>
      </w:r>
      <w:r w:rsidRPr="002D22BE">
        <w:rPr>
          <w:rFonts w:ascii="Montserrat" w:eastAsia="Times New Roman" w:hAnsi="Montserrat" w:cs="Times New Roman"/>
          <w:color w:val="000000"/>
          <w:sz w:val="24"/>
          <w:szCs w:val="24"/>
          <w:lang w:eastAsia="ru-RU"/>
        </w:rPr>
        <w:br/>
        <w:t>5.2. Выпускники прошлых лет, имеющие среднее общее образование, полученное в иностранных образовательных организациях предоставляют оригинал (копию) иностранного документа об образовании, подтверждающего получение среднего общего образования с заверенным переводом с иностранного языка;</w:t>
      </w:r>
      <w:r w:rsidRPr="002D22BE">
        <w:rPr>
          <w:rFonts w:ascii="Montserrat" w:eastAsia="Times New Roman" w:hAnsi="Montserrat" w:cs="Times New Roman"/>
          <w:color w:val="000000"/>
          <w:sz w:val="24"/>
          <w:szCs w:val="24"/>
          <w:lang w:eastAsia="ru-RU"/>
        </w:rPr>
        <w:br/>
        <w:t>5.3. Обучающиеся колледжей (СПО), не имеющие аттестат о среднем общем образовании, предъявляют справку из организации, осуществляющей образовательную деятельность,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(приложение 4).</w:t>
      </w:r>
      <w:r w:rsidRPr="002D22BE">
        <w:rPr>
          <w:rFonts w:ascii="Montserrat" w:eastAsia="Times New Roman" w:hAnsi="Montserrat" w:cs="Times New Roman"/>
          <w:color w:val="000000"/>
          <w:sz w:val="24"/>
          <w:szCs w:val="24"/>
          <w:lang w:eastAsia="ru-RU"/>
        </w:rPr>
        <w:br/>
        <w:t>5.4. Обучающиеся, получающие среднее общее образование в иностранной образовательной организации, предъявляют справку из иностранной образовательной организации, осуществляющей образовательную деятельность, подтверждающую освоение образовательных программ среднего общего образования с заверенным переводом с иностранного языка.</w:t>
      </w:r>
      <w:r w:rsidRPr="002D22BE">
        <w:rPr>
          <w:rFonts w:ascii="Montserrat" w:eastAsia="Times New Roman" w:hAnsi="Montserrat" w:cs="Times New Roman"/>
          <w:color w:val="000000"/>
          <w:sz w:val="24"/>
          <w:szCs w:val="24"/>
          <w:lang w:eastAsia="ru-RU"/>
        </w:rPr>
        <w:br/>
      </w:r>
      <w:r w:rsidRPr="002D22BE">
        <w:rPr>
          <w:rFonts w:ascii="Montserrat" w:eastAsia="Times New Roman" w:hAnsi="Montserrat" w:cs="Times New Roman"/>
          <w:b/>
          <w:bCs/>
          <w:color w:val="000000"/>
          <w:sz w:val="24"/>
          <w:szCs w:val="24"/>
          <w:lang w:eastAsia="ru-RU"/>
        </w:rPr>
        <w:t>6.Перечень документов для создания специальных условий, учитывающих состояние здоровья, особенности психофизического развития</w:t>
      </w:r>
      <w:r w:rsidRPr="002D22BE">
        <w:rPr>
          <w:rFonts w:ascii="Montserrat" w:eastAsia="Times New Roman" w:hAnsi="Montserrat" w:cs="Times New Roman"/>
          <w:color w:val="000000"/>
          <w:sz w:val="24"/>
          <w:szCs w:val="24"/>
          <w:lang w:eastAsia="ru-RU"/>
        </w:rPr>
        <w:br/>
        <w:t>6.1. Участники итогового сочинения (изложения) с ОВЗ предъявляют оригинал или надлежащим образом заверенную копию рекомендаций психолого-медико-педагогической комиссии.</w:t>
      </w:r>
      <w:r w:rsidRPr="002D22BE">
        <w:rPr>
          <w:rFonts w:ascii="Montserrat" w:eastAsia="Times New Roman" w:hAnsi="Montserrat" w:cs="Times New Roman"/>
          <w:color w:val="000000"/>
          <w:sz w:val="24"/>
          <w:szCs w:val="24"/>
          <w:lang w:eastAsia="ru-RU"/>
        </w:rPr>
        <w:br/>
        <w:t>6.2. Дети-инвалиды и инвалиды предъявляют оригинал или надлежащим образом заверенную копию справки, подтверждающей факт установления инвалидности.</w:t>
      </w:r>
      <w:r w:rsidRPr="002D22BE">
        <w:rPr>
          <w:rFonts w:ascii="Montserrat" w:eastAsia="Times New Roman" w:hAnsi="Montserrat" w:cs="Times New Roman"/>
          <w:color w:val="000000"/>
          <w:sz w:val="24"/>
          <w:szCs w:val="24"/>
          <w:lang w:eastAsia="ru-RU"/>
        </w:rPr>
        <w:br/>
      </w:r>
      <w:r w:rsidRPr="002D22BE">
        <w:rPr>
          <w:rFonts w:ascii="Montserrat" w:eastAsia="Times New Roman" w:hAnsi="Montserrat" w:cs="Times New Roman"/>
          <w:b/>
          <w:bCs/>
          <w:color w:val="000000"/>
          <w:sz w:val="24"/>
          <w:szCs w:val="24"/>
          <w:lang w:eastAsia="ru-RU"/>
        </w:rPr>
        <w:t>7. Получение уведомлений</w:t>
      </w:r>
      <w:r w:rsidRPr="002D22BE">
        <w:rPr>
          <w:rFonts w:ascii="Montserrat" w:eastAsia="Times New Roman" w:hAnsi="Montserrat" w:cs="Times New Roman"/>
          <w:color w:val="000000"/>
          <w:sz w:val="24"/>
          <w:szCs w:val="24"/>
          <w:lang w:eastAsia="ru-RU"/>
        </w:rPr>
        <w:br/>
        <w:t>Участники итогового сочинения (изложения) получают уведомления о регистрации на итоговое сочинение (изложение) лично в местах регистрации.</w:t>
      </w:r>
      <w:r w:rsidRPr="002D22BE">
        <w:rPr>
          <w:rFonts w:ascii="Montserrat" w:eastAsia="Times New Roman" w:hAnsi="Montserrat" w:cs="Times New Roman"/>
          <w:color w:val="000000"/>
          <w:sz w:val="24"/>
          <w:szCs w:val="24"/>
          <w:lang w:eastAsia="ru-RU"/>
        </w:rPr>
        <w:br/>
        <w:t>В уведомление внесена информация об участнике, дата и место написания итогового сочинения (изложения), а также код регистрации, который используется для просмотра результатов и скан-копий.</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b/>
          <w:bCs/>
          <w:color w:val="000000"/>
          <w:sz w:val="24"/>
          <w:szCs w:val="24"/>
          <w:lang w:eastAsia="ru-RU"/>
        </w:rPr>
        <w:t>ПРОДОЛЖИТЕЛЬНОСТЬ ПРОВЕДЕНИЯ ИТОГОВОГО СОЧИНЕНИЯ (ИЗЛОЖЕНИЯ)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Продолжительность написания итогового сочинения (изложения) составляет3 часа 55 минут (235 минут).В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lastRenderedPageBreak/>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ОИВ.</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Итоговое сочинение (изложение) начинается в 10.00 по местному времени.</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2D22BE" w:rsidRPr="002D22BE" w:rsidRDefault="002D22BE" w:rsidP="002D22BE">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ручка (</w:t>
      </w:r>
      <w:proofErr w:type="spellStart"/>
      <w:r w:rsidRPr="002D22BE">
        <w:rPr>
          <w:rFonts w:ascii="Montserrat" w:eastAsia="Times New Roman" w:hAnsi="Montserrat" w:cs="Times New Roman"/>
          <w:color w:val="000000"/>
          <w:sz w:val="24"/>
          <w:szCs w:val="24"/>
          <w:lang w:eastAsia="ru-RU"/>
        </w:rPr>
        <w:t>гелевая</w:t>
      </w:r>
      <w:proofErr w:type="spellEnd"/>
      <w:r w:rsidRPr="002D22BE">
        <w:rPr>
          <w:rFonts w:ascii="Montserrat" w:eastAsia="Times New Roman" w:hAnsi="Montserrat" w:cs="Times New Roman"/>
          <w:color w:val="000000"/>
          <w:sz w:val="24"/>
          <w:szCs w:val="24"/>
          <w:lang w:eastAsia="ru-RU"/>
        </w:rPr>
        <w:t xml:space="preserve"> или капиллярная с чернилами черного цвета); документ, удостоверяющий личность;</w:t>
      </w:r>
    </w:p>
    <w:p w:rsidR="002D22BE" w:rsidRPr="002D22BE" w:rsidRDefault="002D22BE" w:rsidP="002D22BE">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2D22BE" w:rsidRPr="002D22BE" w:rsidRDefault="002D22BE" w:rsidP="002D22BE">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лекарства (при необходимости);</w:t>
      </w:r>
    </w:p>
    <w:p w:rsidR="002D22BE" w:rsidRPr="002D22BE" w:rsidRDefault="002D22BE" w:rsidP="002D22BE">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2D22BE" w:rsidRPr="002D22BE" w:rsidRDefault="002D22BE" w:rsidP="002D22BE">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инструкция для участников итогового сочинения (изложения);</w:t>
      </w:r>
    </w:p>
    <w:p w:rsidR="002D22BE" w:rsidRPr="002D22BE" w:rsidRDefault="002D22BE" w:rsidP="002D22BE">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черновики;</w:t>
      </w:r>
    </w:p>
    <w:p w:rsidR="002D22BE" w:rsidRPr="002D22BE" w:rsidRDefault="002D22BE" w:rsidP="002D22BE">
      <w:pPr>
        <w:numPr>
          <w:ilvl w:val="0"/>
          <w:numId w:val="1"/>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для участников итогового сочинения (изложения) с ОВЗ, участников итогового сочинения (изложения) – детей-инвалидов и инвалидов – специальные технические средства (при необходимости).</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 xml:space="preserve">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rsidRPr="002D22BE">
        <w:rPr>
          <w:rFonts w:ascii="Montserrat" w:eastAsia="Times New Roman" w:hAnsi="Montserrat" w:cs="Times New Roman"/>
          <w:color w:val="000000"/>
          <w:sz w:val="24"/>
          <w:szCs w:val="24"/>
          <w:lang w:eastAsia="ru-RU"/>
        </w:rPr>
        <w:t>Рособрнадзором</w:t>
      </w:r>
      <w:proofErr w:type="spellEnd"/>
      <w:r w:rsidRPr="002D22BE">
        <w:rPr>
          <w:rFonts w:ascii="Montserrat" w:eastAsia="Times New Roman" w:hAnsi="Montserrat" w:cs="Times New Roman"/>
          <w:color w:val="000000"/>
          <w:sz w:val="24"/>
          <w:szCs w:val="24"/>
          <w:lang w:eastAsia="ru-RU"/>
        </w:rPr>
        <w:t>. Результатом проверки итогового сочинения (изложения) является «зачет» или «незачет».</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Проверка итогового сочинения (изложения) и обработка материалов итогового сочинения (изложения) должны завершиться в следующие сроки:</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lastRenderedPageBreak/>
        <w:t xml:space="preserve">2) итоговое сочинение (изложение), проведенное во вторую среду апреля, а также в дополнительную дату, определенную </w:t>
      </w:r>
      <w:proofErr w:type="spellStart"/>
      <w:r w:rsidRPr="002D22BE">
        <w:rPr>
          <w:rFonts w:ascii="Montserrat" w:eastAsia="Times New Roman" w:hAnsi="Montserrat" w:cs="Times New Roman"/>
          <w:color w:val="000000"/>
          <w:sz w:val="24"/>
          <w:szCs w:val="24"/>
          <w:lang w:eastAsia="ru-RU"/>
        </w:rPr>
        <w:t>Рособрнадзором</w:t>
      </w:r>
      <w:proofErr w:type="spellEnd"/>
      <w:r w:rsidRPr="002D22BE">
        <w:rPr>
          <w:rFonts w:ascii="Montserrat" w:eastAsia="Times New Roman" w:hAnsi="Montserrat" w:cs="Times New Roman"/>
          <w:color w:val="000000"/>
          <w:sz w:val="24"/>
          <w:szCs w:val="24"/>
          <w:lang w:eastAsia="ru-RU"/>
        </w:rPr>
        <w:t>, — не позднее чем через восемь календарных дней с даты проведения итогового сочинения (изложения).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b/>
          <w:bCs/>
          <w:color w:val="000000"/>
          <w:sz w:val="24"/>
          <w:szCs w:val="24"/>
          <w:lang w:eastAsia="ru-RU"/>
        </w:rPr>
        <w:t>ПОРЯДОК ПРОВЕРКИ И ОЦЕНИВАНИЯ ИТОГОВОГО СОЧИНЕНИЯ (ИЗЛОЖЕНИЯ)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Каждое итоговое сочинение (изложение) участников итогового сочинения (изложения) проверяется одним экспертом один раз.</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 xml:space="preserve">К проверке по критериям оценивания, разработанным </w:t>
      </w:r>
      <w:proofErr w:type="spellStart"/>
      <w:r w:rsidRPr="002D22BE">
        <w:rPr>
          <w:rFonts w:ascii="Montserrat" w:eastAsia="Times New Roman" w:hAnsi="Montserrat" w:cs="Times New Roman"/>
          <w:color w:val="000000"/>
          <w:sz w:val="24"/>
          <w:szCs w:val="24"/>
          <w:lang w:eastAsia="ru-RU"/>
        </w:rPr>
        <w:t>Рособрнадзором</w:t>
      </w:r>
      <w:proofErr w:type="spellEnd"/>
      <w:r w:rsidRPr="002D22BE">
        <w:rPr>
          <w:rFonts w:ascii="Montserrat" w:eastAsia="Times New Roman" w:hAnsi="Montserrat" w:cs="Times New Roman"/>
          <w:color w:val="000000"/>
          <w:sz w:val="24"/>
          <w:szCs w:val="24"/>
          <w:lang w:eastAsia="ru-RU"/>
        </w:rPr>
        <w:t>, допускаются итоговые сочинения (изложения), соответствующие установленным требованиям.</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ТРЕБОВАНИЯ К СОЧИНЕНИЮ:</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Требование № 1. «Объем итогового сочинения»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Рекомендуемое количество слов – от 350.</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Требование № 2. «Самостоятельность написания итогового сочинения»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Итоговое сочинение выполняется самостоятельно.</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ТРЕБОВАНИЯ К ИЗЛОЖЕНИЮ:</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Требование № 1. «Объем итогового изложения»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Рекомендуемое количество слов – от 200.</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w:t>
      </w:r>
      <w:r w:rsidRPr="002D22BE">
        <w:rPr>
          <w:rFonts w:ascii="Montserrat" w:eastAsia="Times New Roman" w:hAnsi="Montserrat" w:cs="Times New Roman"/>
          <w:color w:val="000000"/>
          <w:sz w:val="24"/>
          <w:szCs w:val="24"/>
          <w:lang w:eastAsia="ru-RU"/>
        </w:rPr>
        <w:lastRenderedPageBreak/>
        <w:t>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Требование № 2. «Самостоятельность написания итогового изложения»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Итоговое изложение выполняется самостоятельно.</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Не допускается списывание изложения из какого-либо источника (работа другого участника, исходный текст и др.).</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Итоговое сочинение (изложение), соответствующее установленным требованиям, оценивается по критериям.</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W w:w="0" w:type="auto"/>
        <w:tblCellMar>
          <w:top w:w="15" w:type="dxa"/>
          <w:left w:w="15" w:type="dxa"/>
          <w:bottom w:w="15" w:type="dxa"/>
          <w:right w:w="15" w:type="dxa"/>
        </w:tblCellMar>
        <w:tblLook w:val="04A0" w:firstRow="1" w:lastRow="0" w:firstColumn="1" w:lastColumn="0" w:noHBand="0" w:noVBand="1"/>
      </w:tblPr>
      <w:tblGrid>
        <w:gridCol w:w="4859"/>
        <w:gridCol w:w="4490"/>
      </w:tblGrid>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before="90" w:after="210" w:line="240" w:lineRule="auto"/>
              <w:rPr>
                <w:rFonts w:eastAsia="Times New Roman" w:cs="Times New Roman"/>
                <w:sz w:val="24"/>
                <w:szCs w:val="24"/>
                <w:lang w:eastAsia="ru-RU"/>
              </w:rPr>
            </w:pPr>
            <w:r w:rsidRPr="002D22BE">
              <w:rPr>
                <w:rFonts w:eastAsia="Times New Roman" w:cs="Times New Roman"/>
                <w:b/>
                <w:bCs/>
                <w:sz w:val="24"/>
                <w:szCs w:val="24"/>
                <w:lang w:eastAsia="ru-RU"/>
              </w:rPr>
              <w:t>Сочинение</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before="90" w:after="210" w:line="240" w:lineRule="auto"/>
              <w:rPr>
                <w:rFonts w:eastAsia="Times New Roman" w:cs="Times New Roman"/>
                <w:sz w:val="24"/>
                <w:szCs w:val="24"/>
                <w:lang w:eastAsia="ru-RU"/>
              </w:rPr>
            </w:pPr>
            <w:r w:rsidRPr="002D22BE">
              <w:rPr>
                <w:rFonts w:eastAsia="Times New Roman" w:cs="Times New Roman"/>
                <w:b/>
                <w:bCs/>
                <w:sz w:val="24"/>
                <w:szCs w:val="24"/>
                <w:lang w:eastAsia="ru-RU"/>
              </w:rPr>
              <w:t>Изложение</w:t>
            </w:r>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before="90" w:after="210" w:line="240" w:lineRule="auto"/>
              <w:rPr>
                <w:rFonts w:eastAsia="Times New Roman" w:cs="Times New Roman"/>
                <w:sz w:val="24"/>
                <w:szCs w:val="24"/>
                <w:lang w:eastAsia="ru-RU"/>
              </w:rPr>
            </w:pPr>
            <w:r w:rsidRPr="002D22BE">
              <w:rPr>
                <w:rFonts w:eastAsia="Times New Roman" w:cs="Times New Roman"/>
                <w:sz w:val="24"/>
                <w:szCs w:val="24"/>
                <w:lang w:eastAsia="ru-RU"/>
              </w:rPr>
              <w:t>1. Соответствие теме</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before="90" w:after="210" w:line="240" w:lineRule="auto"/>
              <w:rPr>
                <w:rFonts w:eastAsia="Times New Roman" w:cs="Times New Roman"/>
                <w:sz w:val="24"/>
                <w:szCs w:val="24"/>
                <w:lang w:eastAsia="ru-RU"/>
              </w:rPr>
            </w:pPr>
            <w:r w:rsidRPr="002D22BE">
              <w:rPr>
                <w:rFonts w:eastAsia="Times New Roman" w:cs="Times New Roman"/>
                <w:sz w:val="24"/>
                <w:szCs w:val="24"/>
                <w:lang w:eastAsia="ru-RU"/>
              </w:rPr>
              <w:t>1. Содержание изложения</w:t>
            </w:r>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before="90" w:after="210" w:line="240" w:lineRule="auto"/>
              <w:rPr>
                <w:rFonts w:eastAsia="Times New Roman" w:cs="Times New Roman"/>
                <w:sz w:val="24"/>
                <w:szCs w:val="24"/>
                <w:lang w:eastAsia="ru-RU"/>
              </w:rPr>
            </w:pPr>
            <w:r w:rsidRPr="002D22BE">
              <w:rPr>
                <w:rFonts w:eastAsia="Times New Roman" w:cs="Times New Roman"/>
                <w:sz w:val="24"/>
                <w:szCs w:val="24"/>
                <w:lang w:eastAsia="ru-RU"/>
              </w:rPr>
              <w:t>2. Аргументация. Привлечение литературного материала</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before="90" w:after="210" w:line="240" w:lineRule="auto"/>
              <w:rPr>
                <w:rFonts w:eastAsia="Times New Roman" w:cs="Times New Roman"/>
                <w:sz w:val="24"/>
                <w:szCs w:val="24"/>
                <w:lang w:eastAsia="ru-RU"/>
              </w:rPr>
            </w:pPr>
            <w:r w:rsidRPr="002D22BE">
              <w:rPr>
                <w:rFonts w:eastAsia="Times New Roman" w:cs="Times New Roman"/>
                <w:sz w:val="24"/>
                <w:szCs w:val="24"/>
                <w:lang w:eastAsia="ru-RU"/>
              </w:rPr>
              <w:t>2. Логичность изложения</w:t>
            </w:r>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before="90" w:after="210" w:line="240" w:lineRule="auto"/>
              <w:rPr>
                <w:rFonts w:eastAsia="Times New Roman" w:cs="Times New Roman"/>
                <w:sz w:val="24"/>
                <w:szCs w:val="24"/>
                <w:lang w:eastAsia="ru-RU"/>
              </w:rPr>
            </w:pPr>
            <w:r w:rsidRPr="002D22BE">
              <w:rPr>
                <w:rFonts w:eastAsia="Times New Roman" w:cs="Times New Roman"/>
                <w:sz w:val="24"/>
                <w:szCs w:val="24"/>
                <w:lang w:eastAsia="ru-RU"/>
              </w:rPr>
              <w:t>3. Композиция и логика рассуждения</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before="90" w:after="210" w:line="240" w:lineRule="auto"/>
              <w:rPr>
                <w:rFonts w:eastAsia="Times New Roman" w:cs="Times New Roman"/>
                <w:sz w:val="24"/>
                <w:szCs w:val="24"/>
                <w:lang w:eastAsia="ru-RU"/>
              </w:rPr>
            </w:pPr>
            <w:r w:rsidRPr="002D22BE">
              <w:rPr>
                <w:rFonts w:eastAsia="Times New Roman" w:cs="Times New Roman"/>
                <w:sz w:val="24"/>
                <w:szCs w:val="24"/>
                <w:lang w:eastAsia="ru-RU"/>
              </w:rPr>
              <w:t>3. Использование элементов стиля исходного текста</w:t>
            </w:r>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before="90" w:after="210" w:line="240" w:lineRule="auto"/>
              <w:rPr>
                <w:rFonts w:eastAsia="Times New Roman" w:cs="Times New Roman"/>
                <w:sz w:val="24"/>
                <w:szCs w:val="24"/>
                <w:lang w:eastAsia="ru-RU"/>
              </w:rPr>
            </w:pPr>
            <w:r w:rsidRPr="002D22BE">
              <w:rPr>
                <w:rFonts w:eastAsia="Times New Roman" w:cs="Times New Roman"/>
                <w:sz w:val="24"/>
                <w:szCs w:val="24"/>
                <w:lang w:eastAsia="ru-RU"/>
              </w:rPr>
              <w:t>4. Качество письменной речи</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before="90" w:after="210" w:line="240" w:lineRule="auto"/>
              <w:rPr>
                <w:rFonts w:eastAsia="Times New Roman" w:cs="Times New Roman"/>
                <w:sz w:val="24"/>
                <w:szCs w:val="24"/>
                <w:lang w:eastAsia="ru-RU"/>
              </w:rPr>
            </w:pPr>
            <w:r w:rsidRPr="002D22BE">
              <w:rPr>
                <w:rFonts w:eastAsia="Times New Roman" w:cs="Times New Roman"/>
                <w:sz w:val="24"/>
                <w:szCs w:val="24"/>
                <w:lang w:eastAsia="ru-RU"/>
              </w:rPr>
              <w:t>5. Грамотность</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p>
        </w:tc>
      </w:tr>
    </w:tbl>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b/>
          <w:bCs/>
          <w:color w:val="000000"/>
          <w:sz w:val="24"/>
          <w:szCs w:val="24"/>
          <w:lang w:eastAsia="ru-RU"/>
        </w:rPr>
        <w:lastRenderedPageBreak/>
        <w:t>ОЗНАКОМЛЕНИЕ С РЕЗУЛЬТАТАМИ ИТОГОВОГО СОЧИНЕНИЯ (ИЗЛОЖЕНИЯ) И СРОК ДЕЙСТВИЯ ИТОГОВОГО СОЧИНЕНИЯ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Итоговое сочинение (изложение) как допуск к ГИА – бессрочно.</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и личном кабинете участника итоговой аттестации.</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b/>
          <w:bCs/>
          <w:color w:val="000000"/>
          <w:sz w:val="24"/>
          <w:szCs w:val="24"/>
          <w:lang w:eastAsia="ru-RU"/>
        </w:rPr>
        <w:t>ПРЕДОСТАВЛЕНИЕ ИТОГОВОГО СОЧИНЕНИЯ В ВУЗЫ В КАЧЕСТВЕ ИНДИВИДУАЛЬНОГО ДОСТИЖЕНИЯ</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 xml:space="preserve">В соответствии с пунктом 33 Порядка приема в рамках приема на обучение по программам </w:t>
      </w:r>
      <w:proofErr w:type="spellStart"/>
      <w:r w:rsidRPr="002D22BE">
        <w:rPr>
          <w:rFonts w:ascii="Montserrat" w:eastAsia="Times New Roman" w:hAnsi="Montserrat" w:cs="Times New Roman"/>
          <w:color w:val="000000"/>
          <w:sz w:val="24"/>
          <w:szCs w:val="24"/>
          <w:lang w:eastAsia="ru-RU"/>
        </w:rPr>
        <w:t>бакалавриата</w:t>
      </w:r>
      <w:proofErr w:type="spellEnd"/>
      <w:r w:rsidRPr="002D22BE">
        <w:rPr>
          <w:rFonts w:ascii="Montserrat" w:eastAsia="Times New Roman" w:hAnsi="Montserrat" w:cs="Times New Roman"/>
          <w:color w:val="000000"/>
          <w:sz w:val="24"/>
          <w:szCs w:val="24"/>
          <w:lang w:eastAsia="ru-RU"/>
        </w:rPr>
        <w:t xml:space="preserve">, программам </w:t>
      </w:r>
      <w:proofErr w:type="spellStart"/>
      <w:r w:rsidRPr="002D22BE">
        <w:rPr>
          <w:rFonts w:ascii="Montserrat" w:eastAsia="Times New Roman" w:hAnsi="Montserrat" w:cs="Times New Roman"/>
          <w:color w:val="000000"/>
          <w:sz w:val="24"/>
          <w:szCs w:val="24"/>
          <w:lang w:eastAsia="ru-RU"/>
        </w:rPr>
        <w:t>специалитета</w:t>
      </w:r>
      <w:proofErr w:type="spellEnd"/>
      <w:r w:rsidRPr="002D22BE">
        <w:rPr>
          <w:rFonts w:ascii="Montserrat" w:eastAsia="Times New Roman" w:hAnsi="Montserrat" w:cs="Times New Roman"/>
          <w:color w:val="000000"/>
          <w:sz w:val="24"/>
          <w:szCs w:val="24"/>
          <w:lang w:eastAsia="ru-RU"/>
        </w:rPr>
        <w:t xml:space="preserve">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b/>
          <w:bCs/>
          <w:color w:val="000000"/>
          <w:sz w:val="24"/>
          <w:szCs w:val="24"/>
          <w:lang w:eastAsia="ru-RU"/>
        </w:rPr>
        <w:t>Что изменилось в 2024-2025 учебном году?</w:t>
      </w:r>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t>В 2024/25 учебном году комплекты тем итогового сочинения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w:t>
      </w:r>
      <w:r w:rsidRPr="002D22BE">
        <w:rPr>
          <w:rFonts w:ascii="Montserrat" w:eastAsia="Times New Roman" w:hAnsi="Montserrat" w:cs="Times New Roman"/>
          <w:color w:val="000000"/>
          <w:sz w:val="24"/>
          <w:szCs w:val="24"/>
          <w:lang w:eastAsia="ru-RU"/>
        </w:rPr>
        <w:br/>
      </w:r>
      <w:r w:rsidRPr="002D22BE">
        <w:rPr>
          <w:rFonts w:ascii="Montserrat" w:eastAsia="Times New Roman" w:hAnsi="Montserrat" w:cs="Times New Roman"/>
          <w:color w:val="000000"/>
          <w:sz w:val="24"/>
          <w:szCs w:val="24"/>
          <w:lang w:eastAsia="ru-RU"/>
        </w:rPr>
        <w:br/>
      </w:r>
      <w:r w:rsidRPr="002D22BE">
        <w:rPr>
          <w:rFonts w:ascii="Montserrat" w:eastAsia="Times New Roman" w:hAnsi="Montserrat" w:cs="Times New Roman"/>
          <w:b/>
          <w:bCs/>
          <w:color w:val="000000"/>
          <w:sz w:val="24"/>
          <w:szCs w:val="24"/>
          <w:lang w:eastAsia="ru-RU"/>
        </w:rPr>
        <w:t>На сайте ФГБНУ «ФИПИ» опубликованы следующие материалы.</w:t>
      </w:r>
    </w:p>
    <w:p w:rsidR="002D22BE" w:rsidRPr="002D22BE" w:rsidRDefault="002D22BE" w:rsidP="002D22BE">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hyperlink r:id="rId5" w:tgtFrame="_blank" w:history="1">
        <w:r w:rsidRPr="002D22BE">
          <w:rPr>
            <w:rFonts w:ascii="Montserrat" w:eastAsia="Times New Roman" w:hAnsi="Montserrat" w:cs="Times New Roman"/>
            <w:b/>
            <w:bCs/>
            <w:color w:val="306AFD"/>
            <w:sz w:val="24"/>
            <w:szCs w:val="24"/>
            <w:lang w:eastAsia="ru-RU"/>
          </w:rPr>
          <w:t>Структура закрытого банка тем итогового сочинения</w:t>
        </w:r>
      </w:hyperlink>
      <w:hyperlink r:id="rId6" w:tgtFrame="_blank" w:history="1">
        <w:r w:rsidRPr="002D22BE">
          <w:rPr>
            <w:rFonts w:ascii="Montserrat" w:eastAsia="Times New Roman" w:hAnsi="Montserrat" w:cs="Times New Roman"/>
            <w:color w:val="306AFD"/>
            <w:sz w:val="24"/>
            <w:szCs w:val="24"/>
            <w:lang w:eastAsia="ru-RU"/>
          </w:rPr>
          <w:t> (без изменений)</w:t>
        </w:r>
      </w:hyperlink>
    </w:p>
    <w:p w:rsidR="002D22BE" w:rsidRPr="002D22BE" w:rsidRDefault="002D22BE" w:rsidP="002D22BE">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hyperlink r:id="rId7" w:tgtFrame="_blank" w:history="1">
        <w:r w:rsidRPr="002D22BE">
          <w:rPr>
            <w:rFonts w:ascii="Montserrat" w:eastAsia="Times New Roman" w:hAnsi="Montserrat" w:cs="Times New Roman"/>
            <w:b/>
            <w:bCs/>
            <w:color w:val="306AFD"/>
            <w:sz w:val="24"/>
            <w:szCs w:val="24"/>
            <w:lang w:eastAsia="ru-RU"/>
          </w:rPr>
          <w:t>Комментарии к разделам закрытого банка тем итогового сочинения</w:t>
        </w:r>
      </w:hyperlink>
      <w:hyperlink r:id="rId8" w:tgtFrame="_blank" w:history="1">
        <w:r w:rsidRPr="002D22BE">
          <w:rPr>
            <w:rFonts w:ascii="Montserrat" w:eastAsia="Times New Roman" w:hAnsi="Montserrat" w:cs="Times New Roman"/>
            <w:color w:val="306AFD"/>
            <w:sz w:val="24"/>
            <w:szCs w:val="24"/>
            <w:lang w:eastAsia="ru-RU"/>
          </w:rPr>
          <w:t> (без изменений)</w:t>
        </w:r>
      </w:hyperlink>
    </w:p>
    <w:p w:rsidR="002D22BE" w:rsidRPr="002D22BE" w:rsidRDefault="002D22BE" w:rsidP="002D22BE">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hyperlink r:id="rId9" w:tgtFrame="_blank" w:history="1">
        <w:r w:rsidRPr="002D22BE">
          <w:rPr>
            <w:rFonts w:ascii="Montserrat" w:eastAsia="Times New Roman" w:hAnsi="Montserrat" w:cs="Times New Roman"/>
            <w:b/>
            <w:bCs/>
            <w:color w:val="306AFD"/>
            <w:sz w:val="24"/>
            <w:szCs w:val="24"/>
            <w:lang w:eastAsia="ru-RU"/>
          </w:rPr>
          <w:t>Образец комплекта тем 2024/25 учебного года </w:t>
        </w:r>
      </w:hyperlink>
      <w:hyperlink r:id="rId10" w:tgtFrame="_blank" w:history="1">
        <w:r w:rsidRPr="002D22BE">
          <w:rPr>
            <w:rFonts w:ascii="Montserrat" w:eastAsia="Times New Roman" w:hAnsi="Montserrat" w:cs="Times New Roman"/>
            <w:color w:val="306AFD"/>
            <w:sz w:val="24"/>
            <w:szCs w:val="24"/>
            <w:lang w:eastAsia="ru-RU"/>
          </w:rPr>
          <w:t>(обновлен)</w:t>
        </w:r>
      </w:hyperlink>
    </w:p>
    <w:p w:rsidR="002D22BE" w:rsidRPr="002D22BE" w:rsidRDefault="002D22BE" w:rsidP="002D22BE">
      <w:pPr>
        <w:numPr>
          <w:ilvl w:val="0"/>
          <w:numId w:val="2"/>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hyperlink r:id="rId11" w:tgtFrame="_blank" w:history="1">
        <w:r w:rsidRPr="002D22BE">
          <w:rPr>
            <w:rFonts w:ascii="Montserrat" w:eastAsia="Times New Roman" w:hAnsi="Montserrat" w:cs="Times New Roman"/>
            <w:b/>
            <w:bCs/>
            <w:color w:val="306AFD"/>
            <w:sz w:val="24"/>
            <w:szCs w:val="24"/>
            <w:lang w:eastAsia="ru-RU"/>
          </w:rPr>
          <w:t>Критерии оценивания итогового сочинения и изложения</w:t>
        </w:r>
      </w:hyperlink>
      <w:hyperlink r:id="rId12" w:tgtFrame="_blank" w:history="1">
        <w:r w:rsidRPr="002D22BE">
          <w:rPr>
            <w:rFonts w:ascii="Montserrat" w:eastAsia="Times New Roman" w:hAnsi="Montserrat" w:cs="Times New Roman"/>
            <w:color w:val="306AFD"/>
            <w:sz w:val="24"/>
            <w:szCs w:val="24"/>
            <w:lang w:eastAsia="ru-RU"/>
          </w:rPr>
          <w:t> (без изменений)</w:t>
        </w:r>
      </w:hyperlink>
    </w:p>
    <w:p w:rsidR="002D22BE" w:rsidRPr="002D22BE" w:rsidRDefault="002D22BE" w:rsidP="002D22BE">
      <w:pPr>
        <w:shd w:val="clear" w:color="auto" w:fill="FFFFFF"/>
        <w:spacing w:before="90" w:after="210" w:line="240" w:lineRule="auto"/>
        <w:rPr>
          <w:rFonts w:ascii="Montserrat" w:eastAsia="Times New Roman" w:hAnsi="Montserrat" w:cs="Times New Roman"/>
          <w:color w:val="000000"/>
          <w:sz w:val="24"/>
          <w:szCs w:val="24"/>
          <w:lang w:eastAsia="ru-RU"/>
        </w:rPr>
      </w:pPr>
      <w:r w:rsidRPr="002D22BE">
        <w:rPr>
          <w:rFonts w:ascii="Montserrat" w:eastAsia="Times New Roman" w:hAnsi="Montserrat" w:cs="Times New Roman"/>
          <w:color w:val="000000"/>
          <w:sz w:val="24"/>
          <w:szCs w:val="24"/>
          <w:lang w:eastAsia="ru-RU"/>
        </w:rPr>
        <w:br/>
        <w:t>Итоговые изложения комплектуются из ежегодно пополняемого открытого банка текстов для итогового изложения, размещенного на сайте ФГБНУ «ФИПИ».</w:t>
      </w:r>
      <w:r w:rsidRPr="002D22BE">
        <w:rPr>
          <w:rFonts w:ascii="Montserrat" w:eastAsia="Times New Roman" w:hAnsi="Montserrat" w:cs="Times New Roman"/>
          <w:color w:val="000000"/>
          <w:sz w:val="24"/>
          <w:szCs w:val="24"/>
          <w:lang w:eastAsia="ru-RU"/>
        </w:rPr>
        <w:br/>
      </w:r>
      <w:r w:rsidRPr="002D22BE">
        <w:rPr>
          <w:rFonts w:ascii="Montserrat" w:eastAsia="Times New Roman" w:hAnsi="Montserrat" w:cs="Times New Roman"/>
          <w:color w:val="000000"/>
          <w:sz w:val="24"/>
          <w:szCs w:val="24"/>
          <w:lang w:eastAsia="ru-RU"/>
        </w:rPr>
        <w:lastRenderedPageBreak/>
        <w:br/>
        <w:t>Порядок и процедура проведения итогового сочинения (изложения), критерии их оценивания в новом учебном году </w:t>
      </w:r>
      <w:r w:rsidRPr="002D22BE">
        <w:rPr>
          <w:rFonts w:ascii="Montserrat" w:eastAsia="Times New Roman" w:hAnsi="Montserrat" w:cs="Times New Roman"/>
          <w:b/>
          <w:bCs/>
          <w:color w:val="000000"/>
          <w:sz w:val="24"/>
          <w:szCs w:val="24"/>
          <w:lang w:eastAsia="ru-RU"/>
        </w:rPr>
        <w:t>не меняются</w:t>
      </w:r>
      <w:r w:rsidRPr="002D22BE">
        <w:rPr>
          <w:rFonts w:ascii="Montserrat" w:eastAsia="Times New Roman" w:hAnsi="Montserrat" w:cs="Times New Roman"/>
          <w:color w:val="000000"/>
          <w:sz w:val="24"/>
          <w:szCs w:val="24"/>
          <w:lang w:eastAsia="ru-RU"/>
        </w:rPr>
        <w:t>.</w:t>
      </w:r>
      <w:r w:rsidRPr="002D22BE">
        <w:rPr>
          <w:rFonts w:ascii="Montserrat" w:eastAsia="Times New Roman" w:hAnsi="Montserrat" w:cs="Times New Roman"/>
          <w:color w:val="000000"/>
          <w:sz w:val="24"/>
          <w:szCs w:val="24"/>
          <w:lang w:eastAsia="ru-RU"/>
        </w:rPr>
        <w:br/>
        <w:t> </w:t>
      </w:r>
    </w:p>
    <w:tbl>
      <w:tblPr>
        <w:tblW w:w="0" w:type="auto"/>
        <w:tblCellMar>
          <w:top w:w="15" w:type="dxa"/>
          <w:left w:w="15" w:type="dxa"/>
          <w:bottom w:w="15" w:type="dxa"/>
          <w:right w:w="15" w:type="dxa"/>
        </w:tblCellMar>
        <w:tblLook w:val="04A0" w:firstRow="1" w:lastRow="0" w:firstColumn="1" w:lastColumn="0" w:noHBand="0" w:noVBand="1"/>
      </w:tblPr>
      <w:tblGrid>
        <w:gridCol w:w="3937"/>
      </w:tblGrid>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hyperlink r:id="rId13" w:tgtFrame="_blank" w:history="1">
              <w:r w:rsidRPr="002D22BE">
                <w:rPr>
                  <w:rFonts w:eastAsia="Times New Roman" w:cs="Times New Roman"/>
                  <w:color w:val="306AFD"/>
                  <w:sz w:val="24"/>
                  <w:szCs w:val="24"/>
                  <w:lang w:eastAsia="ru-RU"/>
                </w:rPr>
                <w:t>Открытый банк / Итоговое изложение</w:t>
              </w:r>
            </w:hyperlink>
          </w:p>
        </w:tc>
      </w:tr>
    </w:tbl>
    <w:p w:rsidR="002D22BE" w:rsidRPr="002D22BE" w:rsidRDefault="002D22BE" w:rsidP="002D22BE">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2D22BE">
        <w:rPr>
          <w:rFonts w:ascii="Montserrat" w:eastAsia="Times New Roman" w:hAnsi="Montserrat" w:cs="Times New Roman"/>
          <w:b/>
          <w:bCs/>
          <w:color w:val="000000"/>
          <w:sz w:val="36"/>
          <w:szCs w:val="36"/>
          <w:lang w:eastAsia="ru-RU"/>
        </w:rPr>
        <w:t>Нормативные документы</w:t>
      </w:r>
    </w:p>
    <w:tbl>
      <w:tblPr>
        <w:tblW w:w="0" w:type="auto"/>
        <w:tblCellMar>
          <w:top w:w="15" w:type="dxa"/>
          <w:left w:w="15" w:type="dxa"/>
          <w:bottom w:w="15" w:type="dxa"/>
          <w:right w:w="15" w:type="dxa"/>
        </w:tblCellMar>
        <w:tblLook w:val="04A0" w:firstRow="1" w:lastRow="0" w:firstColumn="1" w:lastColumn="0" w:noHBand="0" w:noVBand="1"/>
      </w:tblPr>
      <w:tblGrid>
        <w:gridCol w:w="1104"/>
        <w:gridCol w:w="1110"/>
        <w:gridCol w:w="7135"/>
      </w:tblGrid>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Номер приказа</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Дата</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Тема</w:t>
            </w:r>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1497</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20.11.2024</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hyperlink r:id="rId14" w:history="1">
              <w:r w:rsidRPr="002D22BE">
                <w:rPr>
                  <w:rFonts w:eastAsia="Times New Roman" w:cs="Times New Roman"/>
                  <w:color w:val="306AFD"/>
                  <w:sz w:val="24"/>
                  <w:szCs w:val="24"/>
                  <w:lang w:eastAsia="ru-RU"/>
                </w:rPr>
                <w:t>О проведении повторной проверки и перепроверки итогового сочинения (изложения) на территории Новгородской области</w:t>
              </w:r>
            </w:hyperlink>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1455</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11.11.2024</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hyperlink r:id="rId15" w:history="1">
              <w:r w:rsidRPr="002D22BE">
                <w:rPr>
                  <w:rFonts w:eastAsia="Times New Roman" w:cs="Times New Roman"/>
                  <w:color w:val="306AFD"/>
                  <w:sz w:val="24"/>
                  <w:szCs w:val="24"/>
                  <w:lang w:eastAsia="ru-RU"/>
                </w:rPr>
                <w:t>О проверке итогового сочинения (изложения) на территории Новгородской области</w:t>
              </w:r>
            </w:hyperlink>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1408</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30.10.2024</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hyperlink r:id="rId16" w:history="1">
              <w:r w:rsidRPr="002D22BE">
                <w:rPr>
                  <w:rFonts w:eastAsia="Times New Roman" w:cs="Times New Roman"/>
                  <w:color w:val="306AFD"/>
                  <w:sz w:val="24"/>
                  <w:szCs w:val="24"/>
                  <w:lang w:eastAsia="ru-RU"/>
                </w:rPr>
                <w:t>Об оборудовании мест проведения и проверки итогового сочинения (изложения) средствами видеонаблюдения на территории Новгородской области</w:t>
              </w:r>
            </w:hyperlink>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1374</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22.10.2024</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hyperlink r:id="rId17" w:history="1">
              <w:r w:rsidRPr="002D22BE">
                <w:rPr>
                  <w:rFonts w:eastAsia="Times New Roman" w:cs="Times New Roman"/>
                  <w:color w:val="306AFD"/>
                  <w:sz w:val="24"/>
                  <w:szCs w:val="24"/>
                  <w:lang w:eastAsia="ru-RU"/>
                </w:rPr>
                <w:t>Об утверждении порядков создания комиссий по проведению итогового сочинения (изложения) и комиссий по проверке итогового сочинения (изложения)</w:t>
              </w:r>
            </w:hyperlink>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1373</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22.10.2024</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hyperlink r:id="rId18" w:history="1">
              <w:r w:rsidRPr="002D22BE">
                <w:rPr>
                  <w:rFonts w:eastAsia="Times New Roman" w:cs="Times New Roman"/>
                  <w:color w:val="306AFD"/>
                  <w:sz w:val="24"/>
                  <w:szCs w:val="24"/>
                  <w:lang w:eastAsia="ru-RU"/>
                </w:rPr>
                <w:t>Об организационно-технологическом сопровождении проведения итогового сочинения (изложения) на территории Новгородской области</w:t>
              </w:r>
            </w:hyperlink>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1372</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22.10.2024</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hyperlink r:id="rId19" w:history="1">
              <w:r w:rsidRPr="002D22BE">
                <w:rPr>
                  <w:rFonts w:eastAsia="Times New Roman" w:cs="Times New Roman"/>
                  <w:color w:val="306AFD"/>
                  <w:sz w:val="24"/>
                  <w:szCs w:val="24"/>
                  <w:lang w:eastAsia="ru-RU"/>
                </w:rPr>
                <w:t>Об утверждении организационно-территориальной схемы проведения итогового сочинения (изложения) в Новгородской области 04 декабря 2024 года</w:t>
              </w:r>
            </w:hyperlink>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1371</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22.10.2024</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hyperlink r:id="rId20" w:history="1">
              <w:r w:rsidRPr="002D22BE">
                <w:rPr>
                  <w:rFonts w:eastAsia="Times New Roman" w:cs="Times New Roman"/>
                  <w:color w:val="306AFD"/>
                  <w:sz w:val="24"/>
                  <w:szCs w:val="24"/>
                  <w:lang w:eastAsia="ru-RU"/>
                </w:rPr>
                <w:t>О местах проведения и проверки итогового сочинения (изложения) на территории Новгородской области 04.12.2024</w:t>
              </w:r>
            </w:hyperlink>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1356</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18.10.2024</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hyperlink r:id="rId21" w:history="1">
              <w:r w:rsidRPr="002D22BE">
                <w:rPr>
                  <w:rFonts w:eastAsia="Times New Roman" w:cs="Times New Roman"/>
                  <w:color w:val="306AFD"/>
                  <w:sz w:val="24"/>
                  <w:szCs w:val="24"/>
                  <w:lang w:eastAsia="ru-RU"/>
                </w:rPr>
                <w:t>Об утверждении инструкций по проведению итогового сочинения (изложения) на территории Новгородской области в 2024/2025 учебном году</w:t>
              </w:r>
            </w:hyperlink>
          </w:p>
        </w:tc>
      </w:tr>
      <w:tr w:rsidR="002D22BE" w:rsidRPr="002D22BE" w:rsidTr="002D22BE">
        <w:tc>
          <w:tcPr>
            <w:tcW w:w="0" w:type="auto"/>
            <w:vAlign w:val="center"/>
            <w:hideMark/>
          </w:tcPr>
          <w:p w:rsidR="002D22BE" w:rsidRPr="002D22BE" w:rsidRDefault="002D22BE" w:rsidP="002D22BE">
            <w:pPr>
              <w:spacing w:after="0" w:line="240" w:lineRule="auto"/>
              <w:rPr>
                <w:rFonts w:eastAsia="Times New Roman" w:cs="Times New Roman"/>
                <w:sz w:val="24"/>
                <w:szCs w:val="24"/>
                <w:lang w:eastAsia="ru-RU"/>
              </w:rPr>
            </w:pPr>
          </w:p>
        </w:tc>
        <w:tc>
          <w:tcPr>
            <w:tcW w:w="0" w:type="auto"/>
            <w:vAlign w:val="center"/>
            <w:hideMark/>
          </w:tcPr>
          <w:p w:rsidR="002D22BE" w:rsidRPr="002D22BE" w:rsidRDefault="002D22BE" w:rsidP="002D22BE">
            <w:pPr>
              <w:spacing w:after="0" w:line="240" w:lineRule="auto"/>
              <w:rPr>
                <w:rFonts w:eastAsia="Times New Roman" w:cs="Times New Roman"/>
                <w:sz w:val="20"/>
                <w:szCs w:val="20"/>
                <w:lang w:eastAsia="ru-RU"/>
              </w:rPr>
            </w:pPr>
          </w:p>
        </w:tc>
        <w:tc>
          <w:tcPr>
            <w:tcW w:w="0" w:type="auto"/>
            <w:vAlign w:val="center"/>
            <w:hideMark/>
          </w:tcPr>
          <w:p w:rsidR="002D22BE" w:rsidRPr="002D22BE" w:rsidRDefault="002D22BE" w:rsidP="002D22BE">
            <w:pPr>
              <w:spacing w:after="0" w:line="240" w:lineRule="auto"/>
              <w:rPr>
                <w:rFonts w:eastAsia="Times New Roman" w:cs="Times New Roman"/>
                <w:sz w:val="20"/>
                <w:szCs w:val="20"/>
                <w:lang w:eastAsia="ru-RU"/>
              </w:rPr>
            </w:pPr>
          </w:p>
        </w:tc>
      </w:tr>
      <w:tr w:rsidR="002D22BE" w:rsidRPr="002D22BE" w:rsidTr="002D22BE">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1354</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r w:rsidRPr="002D22BE">
              <w:rPr>
                <w:rFonts w:eastAsia="Times New Roman" w:cs="Times New Roman"/>
                <w:sz w:val="24"/>
                <w:szCs w:val="24"/>
                <w:lang w:eastAsia="ru-RU"/>
              </w:rPr>
              <w:t>18.10.2024</w:t>
            </w:r>
          </w:p>
        </w:tc>
        <w:tc>
          <w:tcPr>
            <w:tcW w:w="0" w:type="auto"/>
            <w:tcBorders>
              <w:top w:val="single" w:sz="2" w:space="0" w:color="auto"/>
              <w:left w:val="single" w:sz="2" w:space="0" w:color="auto"/>
              <w:bottom w:val="single" w:sz="2" w:space="0" w:color="auto"/>
              <w:right w:val="single" w:sz="2" w:space="0" w:color="auto"/>
            </w:tcBorders>
            <w:vAlign w:val="center"/>
            <w:hideMark/>
          </w:tcPr>
          <w:p w:rsidR="002D22BE" w:rsidRPr="002D22BE" w:rsidRDefault="002D22BE" w:rsidP="002D22BE">
            <w:pPr>
              <w:spacing w:after="0" w:line="240" w:lineRule="auto"/>
              <w:rPr>
                <w:rFonts w:eastAsia="Times New Roman" w:cs="Times New Roman"/>
                <w:sz w:val="24"/>
                <w:szCs w:val="24"/>
                <w:lang w:eastAsia="ru-RU"/>
              </w:rPr>
            </w:pPr>
            <w:hyperlink r:id="rId22" w:history="1">
              <w:r w:rsidRPr="002D22BE">
                <w:rPr>
                  <w:rFonts w:eastAsia="Times New Roman" w:cs="Times New Roman"/>
                  <w:color w:val="306AFD"/>
                  <w:sz w:val="24"/>
                  <w:szCs w:val="24"/>
                  <w:lang w:eastAsia="ru-RU"/>
                </w:rPr>
                <w:t>Об утверждении Порядка проведения итогового сочинения (изложения) на территории Новгородской области в 2024/2025 учебном году</w:t>
              </w:r>
            </w:hyperlink>
          </w:p>
        </w:tc>
      </w:tr>
    </w:tbl>
    <w:p w:rsidR="000E2DA9" w:rsidRDefault="000E2DA9">
      <w:bookmarkStart w:id="0" w:name="_GoBack"/>
      <w:bookmarkEnd w:id="0"/>
    </w:p>
    <w:sectPr w:rsidR="000E2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45990"/>
    <w:multiLevelType w:val="multilevel"/>
    <w:tmpl w:val="4766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61AA8"/>
    <w:multiLevelType w:val="multilevel"/>
    <w:tmpl w:val="8AD0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BE"/>
    <w:rsid w:val="000E2DA9"/>
    <w:rsid w:val="002D2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04CF8-2AC3-4DBA-AED7-D4442E68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5891">
      <w:bodyDiv w:val="1"/>
      <w:marLeft w:val="0"/>
      <w:marRight w:val="0"/>
      <w:marTop w:val="0"/>
      <w:marBottom w:val="0"/>
      <w:divBdr>
        <w:top w:val="none" w:sz="0" w:space="0" w:color="auto"/>
        <w:left w:val="none" w:sz="0" w:space="0" w:color="auto"/>
        <w:bottom w:val="none" w:sz="0" w:space="0" w:color="auto"/>
        <w:right w:val="none" w:sz="0" w:space="0" w:color="auto"/>
      </w:divBdr>
      <w:divsChild>
        <w:div w:id="1996258030">
          <w:marLeft w:val="0"/>
          <w:marRight w:val="0"/>
          <w:marTop w:val="0"/>
          <w:marBottom w:val="0"/>
          <w:divBdr>
            <w:top w:val="none" w:sz="0" w:space="0" w:color="auto"/>
            <w:left w:val="none" w:sz="0" w:space="0" w:color="auto"/>
            <w:bottom w:val="none" w:sz="0" w:space="0" w:color="auto"/>
            <w:right w:val="none" w:sz="0" w:space="0" w:color="auto"/>
          </w:divBdr>
        </w:div>
        <w:div w:id="490566905">
          <w:marLeft w:val="0"/>
          <w:marRight w:val="0"/>
          <w:marTop w:val="0"/>
          <w:marBottom w:val="0"/>
          <w:divBdr>
            <w:top w:val="none" w:sz="0" w:space="0" w:color="auto"/>
            <w:left w:val="none" w:sz="0" w:space="0" w:color="auto"/>
            <w:bottom w:val="none" w:sz="0" w:space="0" w:color="auto"/>
            <w:right w:val="none" w:sz="0" w:space="0" w:color="auto"/>
          </w:divBdr>
          <w:divsChild>
            <w:div w:id="867719089">
              <w:marLeft w:val="0"/>
              <w:marRight w:val="0"/>
              <w:marTop w:val="0"/>
              <w:marBottom w:val="0"/>
              <w:divBdr>
                <w:top w:val="none" w:sz="0" w:space="0" w:color="auto"/>
                <w:left w:val="none" w:sz="0" w:space="0" w:color="auto"/>
                <w:bottom w:val="none" w:sz="0" w:space="0" w:color="auto"/>
                <w:right w:val="none" w:sz="0" w:space="0" w:color="auto"/>
              </w:divBdr>
              <w:divsChild>
                <w:div w:id="181162731">
                  <w:marLeft w:val="0"/>
                  <w:marRight w:val="0"/>
                  <w:marTop w:val="0"/>
                  <w:marBottom w:val="0"/>
                  <w:divBdr>
                    <w:top w:val="none" w:sz="0" w:space="0" w:color="auto"/>
                    <w:left w:val="none" w:sz="0" w:space="0" w:color="auto"/>
                    <w:bottom w:val="none" w:sz="0" w:space="0" w:color="auto"/>
                    <w:right w:val="none" w:sz="0" w:space="0" w:color="auto"/>
                  </w:divBdr>
                  <w:divsChild>
                    <w:div w:id="5313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1376">
              <w:marLeft w:val="0"/>
              <w:marRight w:val="0"/>
              <w:marTop w:val="0"/>
              <w:marBottom w:val="0"/>
              <w:divBdr>
                <w:top w:val="none" w:sz="0" w:space="0" w:color="auto"/>
                <w:left w:val="none" w:sz="0" w:space="0" w:color="auto"/>
                <w:bottom w:val="none" w:sz="0" w:space="0" w:color="auto"/>
                <w:right w:val="none" w:sz="0" w:space="0" w:color="auto"/>
              </w:divBdr>
              <w:divsChild>
                <w:div w:id="1867980487">
                  <w:marLeft w:val="0"/>
                  <w:marRight w:val="0"/>
                  <w:marTop w:val="0"/>
                  <w:marBottom w:val="0"/>
                  <w:divBdr>
                    <w:top w:val="none" w:sz="0" w:space="0" w:color="auto"/>
                    <w:left w:val="none" w:sz="0" w:space="0" w:color="auto"/>
                    <w:bottom w:val="none" w:sz="0" w:space="0" w:color="auto"/>
                    <w:right w:val="none" w:sz="0" w:space="0" w:color="auto"/>
                  </w:divBdr>
                  <w:divsChild>
                    <w:div w:id="12672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4379">
              <w:marLeft w:val="0"/>
              <w:marRight w:val="0"/>
              <w:marTop w:val="0"/>
              <w:marBottom w:val="0"/>
              <w:divBdr>
                <w:top w:val="none" w:sz="0" w:space="0" w:color="auto"/>
                <w:left w:val="none" w:sz="0" w:space="0" w:color="auto"/>
                <w:bottom w:val="none" w:sz="0" w:space="0" w:color="auto"/>
                <w:right w:val="none" w:sz="0" w:space="0" w:color="auto"/>
              </w:divBdr>
              <w:divsChild>
                <w:div w:id="1544368881">
                  <w:marLeft w:val="0"/>
                  <w:marRight w:val="0"/>
                  <w:marTop w:val="0"/>
                  <w:marBottom w:val="0"/>
                  <w:divBdr>
                    <w:top w:val="none" w:sz="0" w:space="0" w:color="auto"/>
                    <w:left w:val="none" w:sz="0" w:space="0" w:color="auto"/>
                    <w:bottom w:val="none" w:sz="0" w:space="0" w:color="auto"/>
                    <w:right w:val="none" w:sz="0" w:space="0" w:color="auto"/>
                  </w:divBdr>
                  <w:divsChild>
                    <w:div w:id="10304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fipi.ru/itogovoe-sochinenie/2024/02_Kommentarii_k_razdelam_banka_tem_sochineniy.pdf" TargetMode="External"/><Relationship Id="rId13" Type="http://schemas.openxmlformats.org/officeDocument/2006/relationships/hyperlink" Target="https://ege.fipi.ru/bank/index.php?crproj=FBCAFDDFA469AEBD4FAAED11E271A183" TargetMode="External"/><Relationship Id="rId18" Type="http://schemas.openxmlformats.org/officeDocument/2006/relationships/hyperlink" Target="https://rcoi53.ru/doc/2024/gia_11/1373_22.10.2024.pdf" TargetMode="External"/><Relationship Id="rId3" Type="http://schemas.openxmlformats.org/officeDocument/2006/relationships/settings" Target="settings.xml"/><Relationship Id="rId21" Type="http://schemas.openxmlformats.org/officeDocument/2006/relationships/hyperlink" Target="https://rcoi53.ru/doc/2024/gia_11/1356_18.10.2024.pdf" TargetMode="External"/><Relationship Id="rId7" Type="http://schemas.openxmlformats.org/officeDocument/2006/relationships/hyperlink" Target="https://doc.fipi.ru/itogovoe-sochinenie/2024/02_Kommentarii_k_razdelam_banka_tem_sochineniy.pdf" TargetMode="External"/><Relationship Id="rId12" Type="http://schemas.openxmlformats.org/officeDocument/2006/relationships/hyperlink" Target="https://doc.fipi.ru/itogovoe-sochinenie/2024/04_Kriterii_it_soch.pdf" TargetMode="External"/><Relationship Id="rId17" Type="http://schemas.openxmlformats.org/officeDocument/2006/relationships/hyperlink" Target="https://rcoi53.ru/doc/2024/gia_11/1374_22.10.2024.pdf" TargetMode="External"/><Relationship Id="rId2" Type="http://schemas.openxmlformats.org/officeDocument/2006/relationships/styles" Target="styles.xml"/><Relationship Id="rId16" Type="http://schemas.openxmlformats.org/officeDocument/2006/relationships/hyperlink" Target="https://rcoi53.ru/doc/2024/gia_11/1408_30.10.2024.pdf" TargetMode="External"/><Relationship Id="rId20" Type="http://schemas.openxmlformats.org/officeDocument/2006/relationships/hyperlink" Target="https://rcoi53.ru/doc/2024/gia_11/1371_22.10.2024.pdf" TargetMode="External"/><Relationship Id="rId1" Type="http://schemas.openxmlformats.org/officeDocument/2006/relationships/numbering" Target="numbering.xml"/><Relationship Id="rId6" Type="http://schemas.openxmlformats.org/officeDocument/2006/relationships/hyperlink" Target="https://doc.fipi.ru/itogovoe-sochinenie/2024/01_Struktura_banka_tem_sochineniy.pdf" TargetMode="External"/><Relationship Id="rId11" Type="http://schemas.openxmlformats.org/officeDocument/2006/relationships/hyperlink" Target="https://doc.fipi.ru/itogovoe-sochinenie/2024/04_Kriterii_it_soch.pdf" TargetMode="External"/><Relationship Id="rId24" Type="http://schemas.openxmlformats.org/officeDocument/2006/relationships/theme" Target="theme/theme1.xml"/><Relationship Id="rId5" Type="http://schemas.openxmlformats.org/officeDocument/2006/relationships/hyperlink" Target="https://doc.fipi.ru/itogovoe-sochinenie/2024/01_Struktura_banka_tem_sochineniy.pdf" TargetMode="External"/><Relationship Id="rId15" Type="http://schemas.openxmlformats.org/officeDocument/2006/relationships/hyperlink" Target="https://rcoi53.ru/doc/2024/gia_11/1455_11.11.2024.pdf" TargetMode="External"/><Relationship Id="rId23" Type="http://schemas.openxmlformats.org/officeDocument/2006/relationships/fontTable" Target="fontTable.xml"/><Relationship Id="rId10" Type="http://schemas.openxmlformats.org/officeDocument/2006/relationships/hyperlink" Target="https://doc.fipi.ru/itogovoe-sochinenie/2024/03_Obrazec_komplekta_tem.pdf" TargetMode="External"/><Relationship Id="rId19" Type="http://schemas.openxmlformats.org/officeDocument/2006/relationships/hyperlink" Target="https://rcoi53.ru/doc/2024/gia_11/1372_22.10.2024.pdf" TargetMode="External"/><Relationship Id="rId4" Type="http://schemas.openxmlformats.org/officeDocument/2006/relationships/webSettings" Target="webSettings.xml"/><Relationship Id="rId9" Type="http://schemas.openxmlformats.org/officeDocument/2006/relationships/hyperlink" Target="https://doc.fipi.ru/itogovoe-sochinenie/2024/03_Obrazec_komplekta_tem.pdf" TargetMode="External"/><Relationship Id="rId14" Type="http://schemas.openxmlformats.org/officeDocument/2006/relationships/hyperlink" Target="https://rcoi53.ru/doc/2024/gia_11/1497_20.11.2024.pdf" TargetMode="External"/><Relationship Id="rId22" Type="http://schemas.openxmlformats.org/officeDocument/2006/relationships/hyperlink" Target="https://rcoi53.ru/doc/2024/gia_11/1354_18.10.202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2916</Words>
  <Characters>16624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Мудрова Люба</dc:creator>
  <cp:keywords/>
  <dc:description/>
  <cp:lastModifiedBy>Мудрова Люба</cp:lastModifiedBy>
  <cp:revision>1</cp:revision>
  <dcterms:created xsi:type="dcterms:W3CDTF">2025-03-31T09:56:00Z</dcterms:created>
  <dcterms:modified xsi:type="dcterms:W3CDTF">2025-03-31T09:57:00Z</dcterms:modified>
</cp:coreProperties>
</file>